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ConsPlusTitlePage"/>
        <w:spacing w:line="223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</w:t>
      </w:r>
    </w:p>
    <w:p>
      <w:pPr>
        <w:pStyle w:val="ConsPlusTitlePage"/>
        <w:spacing w:line="223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</w:t>
      </w:r>
    </w:p>
    <w:p>
      <w:pPr>
        <w:pStyle w:val="ConsPlusTitlePage"/>
        <w:spacing w:line="223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Page"/>
        <w:spacing w:line="22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№_______</w:t>
      </w: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>
      <w:pPr>
        <w:pStyle w:val="ConsPlusTitle"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разграничении полномочий органов государственной власти</w:t>
      </w:r>
    </w:p>
    <w:p>
      <w:pPr>
        <w:spacing w:after="0" w:line="223" w:lineRule="auto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/>
          <w:bCs/>
          <w:sz w:val="28"/>
          <w:szCs w:val="28"/>
        </w:rPr>
        <w:t xml:space="preserve">в сфере увековечения памяти жертв геноцида советского народа в период Великой </w:t>
      </w:r>
      <w:r>
        <w:rPr>
          <w:rFonts w:ascii="Times New Roman" w:hAnsi="Times New Roman"/>
          <w:b/>
          <w:bCs/>
          <w:sz w:val="28"/>
          <w:szCs w:val="28"/>
        </w:rPr>
        <w:t xml:space="preserve">Отечественной войны 1941-1945 годов</w:t>
      </w:r>
    </w:p>
    <w:p>
      <w:pPr>
        <w:pStyle w:val="ConsPlusTitle"/>
        <w:spacing w:line="223" w:lineRule="auto"/>
        <w:rPr>
          <w:rFonts w:ascii="Times New Roman" w:hAnsi="Times New Roman" w:cs="Times New Roman"/>
          <w:b w:val="0"/>
          <w:sz w:val="26"/>
          <w:szCs w:val="26"/>
        </w:rPr>
      </w:pPr>
    </w:p>
    <w:p>
      <w:pPr>
        <w:pStyle w:val="ConsPlusNormal"/>
        <w:spacing w:line="223" w:lineRule="auto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Закон разграничивает полномочия органов государственной власти Новосибирской области в сфере 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увековечения памяти жертв геноцида советского народа в период Великой Отечественной войны 1941-1945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 xml:space="preserve"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 апреля 2025 года </w:t>
      </w:r>
      <w:hyperlink r:id="rId10" w:tooltip="consultantplus://offline/ref=6B4C74DEFB1A9FED51ADE33169997BFC20AAC0837E8343721DDF79EA0D1726D1A91415A8C87690322E3B4D23ED532E07E79EF80111E5901Ep3U2G" w:history="1">
        <w:r>
          <w:rPr>
            <w:rFonts w:ascii="Times New Roman" w:hAnsi="Times New Roman" w:cs="Times New Roman"/>
            <w:sz w:val="28"/>
            <w:szCs w:val="28"/>
          </w:rPr>
          <w:t xml:space="preserve">№ 74-ФЗ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 увековечении памяти жертв геноцида советского народа в период Великой Отечественной войны 1941-1945 годов» (далее </w:t>
      </w:r>
      <w:r>
        <w:rPr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 Федеральный закон «Об увековечении памяти жертв геноцида советского народа в период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 1941-1945 годов»).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Title"/>
        <w:spacing w:line="223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 1. Полномочия Законодательного Собрания Новосибирской области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полномочиям Законодательного Собрания Новосибирской области в сфере 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увековечения памяти жертв геноцида советского народа в период Великой Отечественной войны 1941-1945 годов</w:t>
      </w:r>
      <w:r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принятие законов Новосибирской области, осуществление контроля за их соблюдением и исполнением;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осуществление иных полномочий в соотв</w:t>
      </w:r>
      <w:r>
        <w:rPr>
          <w:rFonts w:ascii="Times New Roman" w:hAnsi="Times New Roman" w:cs="Times New Roman"/>
          <w:sz w:val="28"/>
          <w:szCs w:val="28"/>
        </w:rPr>
        <w:t xml:space="preserve">етствии с федеральным законодательством и законодательством Новосибирской области.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Title"/>
        <w:spacing w:line="223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 2. Полномочия Правительства Новосибирской области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полномочиям Правительства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сфере увековечения памяти жертв геноцида советского народа в период Великой Отечественной войны 1941-1945 годов относятся: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координация деятельности органов исполнительной власти Новосибирской области;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осуществление иных полномочий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 и законодательством Новосибирской области.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Title"/>
        <w:spacing w:line="223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 3. Полномочия областных исполнительных органов Новосибирской области в сфере 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увековечения памяти жертв геноцида советского народа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К полномочиям областного исполнительного </w:t>
      </w:r>
      <w:r>
        <w:rPr>
          <w:rFonts w:ascii="Times New Roman" w:hAnsi="Times New Roman" w:cs="Times New Roman"/>
          <w:sz w:val="28"/>
          <w:szCs w:val="28"/>
        </w:rPr>
        <w:t xml:space="preserve">органа Новосибирской области, уполномоченного на реализацию государственной политики и нормативного правового регулирования в сфере патриотического воспитания, относится:</w:t>
      </w:r>
    </w:p>
    <w:p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разработка нормативных правовых актов в сфере увековечения памяти жертв геноцида с</w:t>
      </w:r>
      <w:r>
        <w:rPr>
          <w:rFonts w:ascii="Times New Roman" w:hAnsi="Times New Roman"/>
          <w:sz w:val="28"/>
          <w:szCs w:val="28"/>
        </w:rPr>
        <w:t xml:space="preserve">оветского народа в пределах своих полномочий, установленных Федеральным законом «</w:t>
      </w:r>
      <w:r>
        <w:rPr>
          <w:rFonts w:ascii="Times New Roman" w:hAnsi="Times New Roman" w:eastAsia="Times New Roman"/>
          <w:sz w:val="28"/>
          <w:szCs w:val="28"/>
        </w:rPr>
        <w:t xml:space="preserve">Об увековечении памяти жертв геноцида советского народа в период Великой Отечественной войны 1941-1945 годов</w:t>
      </w:r>
      <w:r>
        <w:rPr>
          <w:rFonts w:ascii="Times New Roman" w:hAnsi="Times New Roman"/>
          <w:sz w:val="28"/>
          <w:szCs w:val="28"/>
        </w:rPr>
        <w:t xml:space="preserve">»;</w:t>
      </w:r>
    </w:p>
    <w:p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установление в соответствии с Федеральным законом «</w:t>
      </w:r>
      <w:r>
        <w:rPr>
          <w:rFonts w:ascii="Times New Roman" w:hAnsi="Times New Roman" w:eastAsia="Times New Roman"/>
          <w:sz w:val="28"/>
          <w:szCs w:val="28"/>
        </w:rPr>
        <w:t xml:space="preserve">Об увекове</w:t>
      </w:r>
      <w:r>
        <w:rPr>
          <w:rFonts w:ascii="Times New Roman" w:hAnsi="Times New Roman" w:eastAsia="Times New Roman"/>
          <w:sz w:val="28"/>
          <w:szCs w:val="28"/>
        </w:rPr>
        <w:t xml:space="preserve">чении памяти жертв геноцида советского народа в период Великой Отечественной войны 1941-1945 годов</w:t>
      </w:r>
      <w:r>
        <w:rPr>
          <w:rFonts w:ascii="Times New Roman" w:hAnsi="Times New Roman"/>
          <w:sz w:val="28"/>
          <w:szCs w:val="28"/>
        </w:rPr>
        <w:t xml:space="preserve">» порядка проведения поисковой работы и осуществления контроля за ее проведением на территории Новосибирской области;</w:t>
      </w:r>
    </w:p>
    <w:p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осуществление на территории Новосибир</w:t>
      </w:r>
      <w:r>
        <w:rPr>
          <w:rFonts w:ascii="Times New Roman" w:hAnsi="Times New Roman"/>
          <w:sz w:val="28"/>
          <w:szCs w:val="28"/>
        </w:rPr>
        <w:t xml:space="preserve">ской области мероприятий по увековечению памяти жертв геноцида советского народа, в том числе принятие решений о захоронении непогребенных останков жертв геноцида советского народа и (или) решение о перемещении захоронений останков жертв геноцида советског</w:t>
      </w:r>
      <w:r>
        <w:rPr>
          <w:rFonts w:ascii="Times New Roman" w:hAnsi="Times New Roman"/>
          <w:sz w:val="28"/>
          <w:szCs w:val="28"/>
        </w:rPr>
        <w:t xml:space="preserve">о народа;</w:t>
      </w:r>
    </w:p>
    <w:p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обеспечение на территории Новосибирской области всех необходимых мероприятий по захоронению (перезахоронению) останков жертв геноцида советского народа;</w:t>
      </w:r>
    </w:p>
    <w:p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взаимодействие с федеральными органами государственной власти, органами местного самоуп</w:t>
      </w:r>
      <w:r>
        <w:rPr>
          <w:rFonts w:ascii="Times New Roman" w:hAnsi="Times New Roman"/>
          <w:sz w:val="28"/>
          <w:szCs w:val="28"/>
        </w:rPr>
        <w:t xml:space="preserve">равления, национальным оператором по увековечению памяти жертв геноцида советского народа и объединениями, указанными в статье 10 Федерального закона «</w:t>
      </w:r>
      <w:r>
        <w:rPr>
          <w:rFonts w:ascii="Times New Roman" w:hAnsi="Times New Roman" w:eastAsia="Times New Roman"/>
          <w:sz w:val="28"/>
          <w:szCs w:val="28"/>
        </w:rPr>
        <w:t xml:space="preserve">Об увековечении памяти жертв геноцида советского народа в период Великой Отечественной войны 1941-1945 го</w:t>
      </w:r>
      <w:r>
        <w:rPr>
          <w:rFonts w:ascii="Times New Roman" w:hAnsi="Times New Roman" w:eastAsia="Times New Roman"/>
          <w:sz w:val="28"/>
          <w:szCs w:val="28"/>
        </w:rPr>
        <w:t xml:space="preserve">дов</w:t>
      </w:r>
      <w:r>
        <w:rPr>
          <w:rFonts w:ascii="Times New Roman" w:hAnsi="Times New Roman"/>
          <w:sz w:val="28"/>
          <w:szCs w:val="28"/>
        </w:rPr>
        <w:t xml:space="preserve">», по вопросам увековечения памяти жертв геноцида советского народа;</w:t>
      </w:r>
    </w:p>
    <w:p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 осуществление иных полномочий в соответствии с федеральным законодательством и законодательством Новосибирской области.</w:t>
      </w:r>
    </w:p>
    <w:p>
      <w:pPr>
        <w:tabs>
          <w:tab w:val="left" w:pos="1080"/>
        </w:tabs>
        <w:spacing w:after="0" w:line="223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2. К полномочиям иных областных исполнительных органов Новоси</w:t>
      </w:r>
      <w:r>
        <w:rPr>
          <w:rFonts w:ascii="Times New Roman" w:hAnsi="Times New Roman" w:eastAsia="Times New Roman"/>
          <w:sz w:val="28"/>
          <w:szCs w:val="28"/>
        </w:rPr>
        <w:t xml:space="preserve">бирской области в пределах их компетенции относятся:</w:t>
      </w:r>
    </w:p>
    <w:p>
      <w:pPr>
        <w:tabs>
          <w:tab w:val="left" w:pos="1080"/>
        </w:tabs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1) участие в осуществлении на территории Новосибирской области мероприятий по увековечению памяти жертв геноцида советского народа</w:t>
      </w:r>
      <w:r>
        <w:rPr>
          <w:rFonts w:ascii="Times New Roman" w:hAnsi="Times New Roman"/>
          <w:sz w:val="28"/>
          <w:szCs w:val="28"/>
        </w:rPr>
        <w:t xml:space="preserve">; </w:t>
      </w:r>
    </w:p>
    <w:p>
      <w:pPr>
        <w:tabs>
          <w:tab w:val="left" w:pos="1080"/>
        </w:tabs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осуществление иных полномочий в соответствии с законодательством Ро</w:t>
      </w:r>
      <w:r>
        <w:rPr>
          <w:rFonts w:ascii="Times New Roman" w:hAnsi="Times New Roman" w:eastAsia="Times New Roman"/>
          <w:sz w:val="28"/>
          <w:szCs w:val="28"/>
        </w:rPr>
        <w:t xml:space="preserve">ссийской Федерации и законодательством Новосибирской области.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Title"/>
        <w:spacing w:line="223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 4. Вступление в силу настоящего Закона</w:t>
      </w: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дня, следующего за днем его официального опубликования.</w:t>
      </w:r>
    </w:p>
    <w:p>
      <w:pPr>
        <w:spacing w:after="0" w:line="223" w:lineRule="auto"/>
        <w:rPr>
          <w:rFonts w:ascii="Times New Roman" w:hAnsi="Times New Roman"/>
          <w:sz w:val="26"/>
          <w:szCs w:val="26"/>
        </w:rPr>
      </w:pPr>
    </w:p>
    <w:p>
      <w:pPr>
        <w:spacing w:after="0" w:line="223" w:lineRule="auto"/>
        <w:rPr>
          <w:rFonts w:ascii="Times New Roman" w:hAnsi="Times New Roman"/>
          <w:sz w:val="26"/>
          <w:szCs w:val="26"/>
        </w:rPr>
      </w:pPr>
    </w:p>
    <w:p>
      <w:pPr>
        <w:spacing w:after="0" w:line="223" w:lineRule="auto"/>
        <w:rPr>
          <w:rFonts w:ascii="Times New Roman" w:hAnsi="Times New Roman"/>
          <w:sz w:val="26"/>
          <w:szCs w:val="26"/>
        </w:rPr>
      </w:pPr>
    </w:p>
    <w:p>
      <w:pPr>
        <w:spacing w:after="0" w:line="22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</w:t>
      </w:r>
    </w:p>
    <w:p>
      <w:pPr>
        <w:spacing w:after="0" w:line="22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А.А. Травников</w:t>
      </w:r>
    </w:p>
    <w:p>
      <w:pPr>
        <w:pStyle w:val="ConsPlusNormal"/>
        <w:spacing w:line="223" w:lineRule="auto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 Новосибирск</w:t>
      </w:r>
    </w:p>
    <w:p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 ___________ 2026 г.</w:t>
      </w:r>
    </w:p>
    <w:p>
      <w:pPr>
        <w:pStyle w:val="ConsPlusNonformat"/>
        <w:spacing w:line="223" w:lineRule="auto"/>
        <w:rPr>
          <w:rFonts w:ascii="Times New Roman" w:hAnsi="Times New Roman" w:cs="Times New Roman"/>
          <w:sz w:val="26"/>
          <w:szCs w:val="26"/>
        </w:rPr>
      </w:pPr>
    </w:p>
    <w:p>
      <w:pPr>
        <w:pStyle w:val="ConsPlusNonformat"/>
        <w:spacing w:line="223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________________ ОЗ </w:t>
      </w:r>
    </w:p>
    <w:sectPr>
      <w:headerReference w:type="default" r:id="rId8"/>
      <w:pgSz w:w="11906" w:h="16838"/>
      <w:pgMar w:top="851" w:right="567" w:bottom="964" w:left="1418" w:header="708" w:footer="708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b"/>
      <w:jc w:val="center"/>
    </w:pPr>
    <w:r>
      <w:fldChar w:fldCharType="begin"/>
    </w:r>
    <w:r>
      <w:instrText xml:space="preserve">PAGE   \*</w:instrText>
    </w:r>
    <w:r>
      <w:instrText xml:space="preserve"> MERGEFORMAT</w:instrText>
    </w:r>
    <w:r>
      <w:rPr>
        <w:rFonts w:ascii="Times New Roman" w:hAnsi="Times New Roman" w:eastAsia="Times New Roman"/>
        <w:sz w:val="20"/>
        <w:szCs w:val="20"/>
      </w:rPr>
      <w:fldChar w:fldCharType="separate"/>
    </w:r>
    <w:r>
      <w:rPr>
        <w:rFonts w:ascii="Times New Roman" w:hAnsi="Times New Roman" w:eastAsia="Times New Roman"/>
        <w:sz w:val="20"/>
        <w:szCs w:val="20"/>
      </w:rPr>
      <w:t xml:space="preserve">2</w:t>
    </w:r>
    <w:r>
      <w:rPr>
        <w:rFonts w:ascii="Times New Roman" w:hAnsi="Times New Roman" w:eastAsia="Times New Roman"/>
        <w:sz w:val="20"/>
        <w:szCs w:val="20"/>
      </w:rPr>
      <w:fldChar w:fldCharType="end"/>
    </w:r>
  </w:p>
  <w:p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CaptionChar" w:customStyle="1">
    <w:name w:val="Caption Char"/>
    <w:uiPriority w:val="99"/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10" w:customStyle="1">
    <w:name w:val="Заголовок 1 Знак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HeaderChar" w:customStyle="1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FooterChar" w:customStyle="1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af0" w:customStyle="1">
    <w:name w:val="Название объекта Знак"/>
    <w:link w:val="af"/>
    <w:uiPriority w:val="99"/>
  </w:style>
  <w:style w:type="table" w:styleId="af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styleId="af4" w:customStyle="1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styleId="af7" w:customStyle="1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ConsPlusNormal" w:customStyle="1">
    <w:name w:val="ConsPlusNormal"/>
    <w:link w:val="ConsPlusNormal0"/>
    <w:uiPriority w:val="99"/>
    <w:pPr>
      <w:widowControl w:val="off"/>
    </w:pPr>
    <w:rPr>
      <w:rFonts w:eastAsia="Times New Roman" w:cs="Calibri"/>
      <w:sz w:val="22"/>
      <w:lang w:eastAsia="ru-RU"/>
    </w:rPr>
  </w:style>
  <w:style w:type="paragraph" w:styleId="ConsPlusTitle" w:customStyle="1">
    <w:name w:val="ConsPlusTitle"/>
    <w:pPr>
      <w:widowControl w:val="off"/>
    </w:pPr>
    <w:rPr>
      <w:rFonts w:eastAsia="Times New Roman" w:cs="Calibri"/>
      <w:b/>
      <w:sz w:val="22"/>
      <w:lang w:eastAsia="ru-RU"/>
    </w:rPr>
  </w:style>
  <w:style w:type="paragraph" w:styleId="ConsPlusTitlePage" w:customStyle="1">
    <w:name w:val="ConsPlusTitlePage"/>
    <w:pPr>
      <w:widowControl w:val="off"/>
    </w:pPr>
    <w:rPr>
      <w:rFonts w:ascii="Tahoma" w:hAnsi="Tahoma" w:eastAsia="Times New Roman" w:cs="Tahoma"/>
      <w:lang w:eastAsia="ru-RU"/>
    </w:rPr>
  </w:style>
  <w:style w:type="character" w:styleId="ConsPlusNormal0" w:customStyle="1">
    <w:name w:val="ConsPlusNormal Знак"/>
    <w:link w:val="ConsPlusNormal"/>
    <w:uiPriority w:val="99"/>
    <w:rPr>
      <w:rFonts w:ascii="Calibri" w:hAnsi="Calibri" w:eastAsia="Times New Roman" w:cs="Calibri"/>
      <w:szCs w:val="20"/>
      <w:lang w:eastAsia="ru-RU"/>
    </w:rPr>
  </w:style>
  <w:style w:type="paragraph" w:styleId="ConsPlusNonformat" w:customStyle="1">
    <w:name w:val="ConsPlusNonformat"/>
    <w:uiPriority w:val="99"/>
    <w:rPr>
      <w:rFonts w:ascii="Courier New" w:hAnsi="Courier New" w:eastAsia="Times New Roman" w:cs="Courier New"/>
      <w:lang w:eastAsia="ru-RU"/>
    </w:rPr>
  </w:style>
  <w:style w:type="character" w:styleId="ac" w:customStyle="1">
    <w:name w:val="Верхний колонтитул Знак"/>
    <w:basedOn w:val="a0"/>
    <w:link w:val="ab"/>
    <w:uiPriority w:val="99"/>
  </w:style>
  <w:style w:type="character" w:styleId="ae" w:customStyle="1">
    <w:name w:val="Нижний колонтитул Знак"/>
    <w:basedOn w:val="a0"/>
    <w:link w:val="ad"/>
    <w:uiPriority w:val="99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fc" w:customStyle="1">
    <w:name w:val="Текст выноски Знак"/>
    <w:link w:val="afb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styleId="aff" w:customStyle="1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styleId="aff1" w:customStyle="1">
    <w:name w:val="Тема примечания Знак"/>
    <w:link w:val="aff0"/>
    <w:uiPriority w:val="99"/>
    <w:semiHidden/>
    <w:rPr>
      <w:b/>
      <w:bCs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consultantplus://offline/ref=6B4C74DEFB1A9FED51ADE33169997BFC20AAC0837E8343721DDF79EA0D1726D1A91415A8C87690322F3B4D23ED532E07E79EF80111E5901Ep3U2G" TargetMode="External"/><Relationship Id="rId10" Type="http://schemas.openxmlformats.org/officeDocument/2006/relationships/hyperlink" Target="consultantplus://offline/ref=6B4C74DEFB1A9FED51ADE33169997BFC20AAC0837E8343721DDF79EA0D1726D1A91415A8C87690322E3B4D23ED532E07E79EF80111E5901Ep3U2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4116</Characters>
  <CharactersWithSpaces>4828</CharactersWithSpaces>
  <Company>PNO</Company>
  <DocSecurity>0</DocSecurity>
  <HyperlinksChanged>false</HyperlinksChanged>
  <Lines>34</Lines>
  <LinksUpToDate>false</LinksUpToDate>
  <Pages>1</Pages>
  <Paragraphs>9</Paragraphs>
  <ScaleCrop>false</ScaleCrop>
  <SharedDoc>false</SharedDoc>
  <Template>Normal</Template>
  <TotalTime>0</TotalTime>
  <Words>721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Язовская Наталия Владимировна</dc:creator>
  <cp:lastModifiedBy/>
  <cp:revision>4</cp:revision>
  <dcterms:created xsi:type="dcterms:W3CDTF">2026-07-02T04:14:00Z</dcterms:created>
  <dcterms:modified xsi:type="dcterms:W3CDTF">2026-07-16T08:33:00Z</dcterms:modified>
  <cp:version>1048576</cp:version>
</cp:coreProperties>
</file>